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F3" w:rsidRDefault="00B03FF3" w:rsidP="00B03FF3">
      <w:pPr>
        <w:jc w:val="center"/>
        <w:rPr>
          <w:rFonts w:ascii="Times" w:hAnsi="Times"/>
          <w:b/>
        </w:rPr>
      </w:pPr>
      <w:r>
        <w:rPr>
          <w:rFonts w:ascii="Times" w:hAnsi="Times"/>
          <w:b/>
        </w:rPr>
        <w:t>ICC Minutes</w:t>
      </w:r>
      <w:r w:rsidRPr="00C14B24">
        <w:rPr>
          <w:rFonts w:ascii="Times" w:hAnsi="Times"/>
          <w:b/>
        </w:rPr>
        <w:t xml:space="preserve"> for </w:t>
      </w:r>
      <w:r w:rsidR="00E95A85">
        <w:rPr>
          <w:rFonts w:ascii="Times" w:hAnsi="Times"/>
          <w:b/>
        </w:rPr>
        <w:t>Tuesday September 15, 2015</w:t>
      </w:r>
      <w:bookmarkStart w:id="0" w:name="_GoBack"/>
      <w:bookmarkEnd w:id="0"/>
    </w:p>
    <w:p w:rsidR="00B03FF3" w:rsidRDefault="00B03FF3" w:rsidP="00B03FF3">
      <w:pPr>
        <w:jc w:val="center"/>
        <w:rPr>
          <w:rFonts w:ascii="Times" w:hAnsi="Times"/>
          <w:b/>
        </w:rPr>
      </w:pPr>
      <w:r>
        <w:rPr>
          <w:rFonts w:ascii="Times" w:hAnsi="Times"/>
          <w:b/>
        </w:rPr>
        <w:t xml:space="preserve">NHE 113  </w:t>
      </w:r>
    </w:p>
    <w:p w:rsidR="00B03FF3" w:rsidRPr="00C14B24" w:rsidRDefault="00B03FF3" w:rsidP="00B03FF3">
      <w:pPr>
        <w:jc w:val="center"/>
        <w:rPr>
          <w:rFonts w:ascii="Times" w:hAnsi="Times"/>
          <w:b/>
        </w:rPr>
      </w:pPr>
      <w:r>
        <w:rPr>
          <w:rFonts w:ascii="Times" w:hAnsi="Times"/>
          <w:b/>
        </w:rPr>
        <w:t>10:00 a.m.</w:t>
      </w:r>
    </w:p>
    <w:p w:rsidR="00E274B9" w:rsidRDefault="00E274B9" w:rsidP="00B03FF3">
      <w:pPr>
        <w:jc w:val="center"/>
      </w:pPr>
    </w:p>
    <w:p w:rsidR="00B03FF3" w:rsidRPr="000F45E7" w:rsidRDefault="00B03FF3" w:rsidP="00B03FF3">
      <w:pPr>
        <w:rPr>
          <w:rFonts w:ascii="Times" w:hAnsi="Times"/>
          <w:b/>
          <w:sz w:val="20"/>
        </w:rPr>
      </w:pPr>
      <w:r w:rsidRPr="000F45E7">
        <w:rPr>
          <w:rFonts w:ascii="Times" w:hAnsi="Times"/>
          <w:b/>
          <w:sz w:val="20"/>
        </w:rPr>
        <w:t>ICC Members:</w:t>
      </w:r>
    </w:p>
    <w:p w:rsidR="00B03FF3" w:rsidRPr="00F57499" w:rsidRDefault="00B03FF3" w:rsidP="00B03FF3">
      <w:pPr>
        <w:rPr>
          <w:rFonts w:ascii="Times" w:hAnsi="Times"/>
          <w:color w:val="FF0000"/>
          <w:sz w:val="20"/>
        </w:rPr>
      </w:pPr>
      <w:r w:rsidRPr="000F45E7">
        <w:rPr>
          <w:rFonts w:ascii="Times" w:hAnsi="Times"/>
          <w:b/>
          <w:sz w:val="20"/>
        </w:rPr>
        <w:t>AMP:</w:t>
      </w:r>
      <w:r>
        <w:rPr>
          <w:rFonts w:ascii="Times" w:hAnsi="Times"/>
          <w:sz w:val="20"/>
        </w:rPr>
        <w:t xml:space="preserve"> Rock Braithwaite, Jená Burges, Matthew Dean, Mary Glenn, Carl Hansen, Matthew Hurst, Cindy Moyer, Scott Paynton, Sarah Fay Philips,</w:t>
      </w:r>
      <w:r w:rsidRPr="00F57499">
        <w:rPr>
          <w:rFonts w:ascii="Times" w:hAnsi="Times"/>
          <w:sz w:val="20"/>
        </w:rPr>
        <w:t xml:space="preserve"> </w:t>
      </w:r>
      <w:r>
        <w:rPr>
          <w:rFonts w:ascii="Times" w:hAnsi="Times"/>
          <w:sz w:val="20"/>
        </w:rPr>
        <w:t xml:space="preserve">Clint Rebik, Rick Zechman, </w:t>
      </w:r>
      <w:r>
        <w:rPr>
          <w:rFonts w:ascii="Times" w:hAnsi="Times"/>
          <w:color w:val="FF0000"/>
          <w:sz w:val="20"/>
        </w:rPr>
        <w:t>Grad Council Rep</w:t>
      </w:r>
    </w:p>
    <w:p w:rsidR="00B03FF3" w:rsidRPr="00F57499" w:rsidRDefault="00B03FF3" w:rsidP="00B03FF3">
      <w:pPr>
        <w:rPr>
          <w:rFonts w:ascii="Times" w:hAnsi="Times"/>
          <w:b/>
          <w:i/>
          <w:color w:val="FF0000"/>
          <w:sz w:val="20"/>
        </w:rPr>
      </w:pPr>
      <w:r w:rsidRPr="000F45E7">
        <w:rPr>
          <w:rFonts w:ascii="Times" w:hAnsi="Times"/>
          <w:b/>
          <w:sz w:val="20"/>
        </w:rPr>
        <w:t>CDC</w:t>
      </w:r>
      <w:r>
        <w:rPr>
          <w:rFonts w:ascii="Times" w:hAnsi="Times"/>
          <w:sz w:val="20"/>
        </w:rPr>
        <w:t>: Jodie Baker, Ricardo Febre, Gregg Gold, Bruce O’Gara, Anne Paulet</w:t>
      </w:r>
      <w:r w:rsidRPr="0057278A">
        <w:rPr>
          <w:rFonts w:ascii="Times" w:hAnsi="Times"/>
          <w:sz w:val="20"/>
        </w:rPr>
        <w:t>, Jenni Robinson</w:t>
      </w:r>
    </w:p>
    <w:p w:rsidR="00B03FF3" w:rsidRPr="00BF6988" w:rsidRDefault="00B03FF3" w:rsidP="00B03FF3">
      <w:pPr>
        <w:rPr>
          <w:rFonts w:ascii="Times" w:hAnsi="Times"/>
          <w:strike/>
          <w:sz w:val="20"/>
        </w:rPr>
      </w:pPr>
      <w:r>
        <w:rPr>
          <w:rFonts w:ascii="Times" w:hAnsi="Times"/>
          <w:b/>
          <w:sz w:val="20"/>
        </w:rPr>
        <w:t>GEAR</w:t>
      </w:r>
      <w:r w:rsidRPr="000F45E7">
        <w:rPr>
          <w:rFonts w:ascii="Times" w:hAnsi="Times"/>
          <w:b/>
          <w:sz w:val="20"/>
        </w:rPr>
        <w:t>:</w:t>
      </w:r>
      <w:r>
        <w:rPr>
          <w:rFonts w:ascii="Times" w:hAnsi="Times"/>
          <w:sz w:val="20"/>
        </w:rPr>
        <w:t xml:space="preserve">  Mary Dingle, Chris Harmon</w:t>
      </w:r>
    </w:p>
    <w:p w:rsidR="00B03FF3" w:rsidRDefault="00B03FF3" w:rsidP="00B03FF3">
      <w:pPr>
        <w:rPr>
          <w:rFonts w:ascii="Times" w:hAnsi="Times"/>
          <w:sz w:val="20"/>
        </w:rPr>
      </w:pPr>
      <w:r w:rsidRPr="00B03FF3">
        <w:rPr>
          <w:rFonts w:ascii="Times" w:hAnsi="Times"/>
          <w:b/>
          <w:sz w:val="20"/>
        </w:rPr>
        <w:t>APC:</w:t>
      </w:r>
      <w:r>
        <w:rPr>
          <w:rFonts w:ascii="Times" w:hAnsi="Times"/>
          <w:sz w:val="20"/>
        </w:rPr>
        <w:t xml:space="preserve">  Andrew Stubblefield</w:t>
      </w:r>
    </w:p>
    <w:p w:rsidR="00B03FF3" w:rsidRPr="00295580" w:rsidRDefault="00B03FF3" w:rsidP="00B03FF3">
      <w:pPr>
        <w:rPr>
          <w:rFonts w:ascii="Times" w:hAnsi="Times"/>
          <w:sz w:val="20"/>
        </w:rPr>
      </w:pPr>
      <w:r>
        <w:rPr>
          <w:rFonts w:ascii="Times" w:hAnsi="Times"/>
          <w:b/>
          <w:sz w:val="20"/>
        </w:rPr>
        <w:t>Students</w:t>
      </w:r>
      <w:proofErr w:type="gramStart"/>
      <w:r>
        <w:rPr>
          <w:rFonts w:ascii="Times" w:hAnsi="Times"/>
          <w:b/>
          <w:sz w:val="20"/>
        </w:rPr>
        <w:t xml:space="preserve">:  </w:t>
      </w:r>
      <w:r w:rsidRPr="00F57499">
        <w:rPr>
          <w:rFonts w:ascii="Times" w:hAnsi="Times"/>
          <w:color w:val="FF0000"/>
          <w:sz w:val="20"/>
        </w:rPr>
        <w:t>???</w:t>
      </w:r>
      <w:proofErr w:type="gramEnd"/>
      <w:r>
        <w:rPr>
          <w:rFonts w:ascii="Times" w:hAnsi="Times"/>
          <w:color w:val="FF0000"/>
          <w:sz w:val="20"/>
        </w:rPr>
        <w:t xml:space="preserve"> </w:t>
      </w:r>
      <w:r w:rsidRPr="007D3F2C">
        <w:rPr>
          <w:rFonts w:ascii="Times" w:hAnsi="Times"/>
          <w:color w:val="FF0000"/>
          <w:sz w:val="20"/>
        </w:rPr>
        <w:t xml:space="preserve">– </w:t>
      </w:r>
      <w:proofErr w:type="gramStart"/>
      <w:r w:rsidRPr="007D3F2C">
        <w:rPr>
          <w:rFonts w:ascii="Times" w:hAnsi="Times"/>
          <w:color w:val="FF0000"/>
          <w:sz w:val="20"/>
        </w:rPr>
        <w:t>two</w:t>
      </w:r>
      <w:proofErr w:type="gramEnd"/>
      <w:r w:rsidRPr="007D3F2C">
        <w:rPr>
          <w:rFonts w:ascii="Times" w:hAnsi="Times"/>
          <w:color w:val="FF0000"/>
          <w:sz w:val="20"/>
        </w:rPr>
        <w:t xml:space="preserve"> needed!</w:t>
      </w:r>
    </w:p>
    <w:p w:rsidR="00B03FF3" w:rsidRDefault="00B03FF3" w:rsidP="00B03FF3">
      <w:pPr>
        <w:rPr>
          <w:rFonts w:ascii="Times" w:hAnsi="Times"/>
          <w:sz w:val="20"/>
        </w:rPr>
      </w:pPr>
      <w:r>
        <w:rPr>
          <w:rFonts w:ascii="Times" w:hAnsi="Times"/>
          <w:b/>
          <w:sz w:val="20"/>
        </w:rPr>
        <w:t xml:space="preserve">Minutes-taker:  </w:t>
      </w:r>
      <w:r>
        <w:rPr>
          <w:rFonts w:ascii="Times" w:hAnsi="Times"/>
          <w:sz w:val="20"/>
        </w:rPr>
        <w:t>Kyle McInnis</w:t>
      </w:r>
    </w:p>
    <w:p w:rsidR="00B03FF3" w:rsidRDefault="00B03FF3" w:rsidP="00B03FF3">
      <w:pPr>
        <w:rPr>
          <w:rFonts w:ascii="Times" w:hAnsi="Times"/>
          <w:sz w:val="20"/>
        </w:rPr>
      </w:pPr>
    </w:p>
    <w:tbl>
      <w:tblPr>
        <w:tblStyle w:val="TableGrid"/>
        <w:tblW w:w="0" w:type="auto"/>
        <w:tblLook w:val="04A0" w:firstRow="1" w:lastRow="0" w:firstColumn="1" w:lastColumn="0" w:noHBand="0" w:noVBand="1"/>
      </w:tblPr>
      <w:tblGrid>
        <w:gridCol w:w="4313"/>
        <w:gridCol w:w="4317"/>
      </w:tblGrid>
      <w:tr w:rsidR="00B03FF3" w:rsidTr="00B03FF3">
        <w:tc>
          <w:tcPr>
            <w:tcW w:w="4428" w:type="dxa"/>
          </w:tcPr>
          <w:p w:rsidR="00B03FF3" w:rsidRPr="0057278A" w:rsidRDefault="00B03FF3" w:rsidP="00B03FF3">
            <w:pPr>
              <w:rPr>
                <w:rFonts w:ascii="Times" w:hAnsi="Times"/>
                <w:color w:val="FF0000"/>
                <w:sz w:val="20"/>
              </w:rPr>
            </w:pPr>
            <w:r>
              <w:rPr>
                <w:rFonts w:ascii="Times" w:hAnsi="Times"/>
                <w:b/>
                <w:sz w:val="20"/>
              </w:rPr>
              <w:t xml:space="preserve">1.  </w:t>
            </w:r>
            <w:r w:rsidRPr="00C14B24">
              <w:rPr>
                <w:rFonts w:ascii="Times" w:hAnsi="Times"/>
                <w:b/>
                <w:sz w:val="20"/>
              </w:rPr>
              <w:t xml:space="preserve">Approval of </w:t>
            </w:r>
            <w:r w:rsidRPr="001E4599">
              <w:rPr>
                <w:rFonts w:ascii="Times" w:hAnsi="Times"/>
                <w:b/>
                <w:sz w:val="20"/>
              </w:rPr>
              <w:t>Minutes</w:t>
            </w:r>
            <w:r w:rsidRPr="00E7560A">
              <w:rPr>
                <w:rFonts w:ascii="Times" w:hAnsi="Times"/>
                <w:sz w:val="20"/>
              </w:rPr>
              <w:t xml:space="preserve"> </w:t>
            </w:r>
          </w:p>
          <w:p w:rsidR="00B03FF3" w:rsidRDefault="00B03FF3" w:rsidP="00B03FF3">
            <w:pPr>
              <w:rPr>
                <w:rFonts w:ascii="Times" w:hAnsi="Times"/>
                <w:b/>
                <w:sz w:val="20"/>
              </w:rPr>
            </w:pPr>
          </w:p>
        </w:tc>
        <w:tc>
          <w:tcPr>
            <w:tcW w:w="4428" w:type="dxa"/>
          </w:tcPr>
          <w:p w:rsidR="00B03FF3" w:rsidRPr="0057278A" w:rsidRDefault="00B03FF3" w:rsidP="00B03FF3">
            <w:pPr>
              <w:rPr>
                <w:rFonts w:ascii="Times" w:hAnsi="Times"/>
                <w:color w:val="FF0000"/>
                <w:sz w:val="20"/>
              </w:rPr>
            </w:pPr>
            <w:r>
              <w:rPr>
                <w:rFonts w:ascii="Times" w:hAnsi="Times"/>
                <w:b/>
                <w:sz w:val="20"/>
              </w:rPr>
              <w:t xml:space="preserve">1.  </w:t>
            </w:r>
            <w:r w:rsidRPr="00C14B24">
              <w:rPr>
                <w:rFonts w:ascii="Times" w:hAnsi="Times"/>
                <w:b/>
                <w:sz w:val="20"/>
              </w:rPr>
              <w:t xml:space="preserve">Approval of </w:t>
            </w:r>
            <w:r w:rsidRPr="001E4599">
              <w:rPr>
                <w:rFonts w:ascii="Times" w:hAnsi="Times"/>
                <w:b/>
                <w:sz w:val="20"/>
              </w:rPr>
              <w:t>Minutes</w:t>
            </w:r>
            <w:r w:rsidRPr="00E7560A">
              <w:rPr>
                <w:rFonts w:ascii="Times" w:hAnsi="Times"/>
                <w:sz w:val="20"/>
              </w:rPr>
              <w:t xml:space="preserve"> </w:t>
            </w:r>
          </w:p>
          <w:p w:rsidR="00B03FF3" w:rsidRDefault="00B03FF3" w:rsidP="00B03FF3">
            <w:pPr>
              <w:rPr>
                <w:rFonts w:ascii="Times" w:hAnsi="Times"/>
                <w:sz w:val="20"/>
                <w:szCs w:val="20"/>
              </w:rPr>
            </w:pPr>
          </w:p>
          <w:p w:rsidR="00B03FF3" w:rsidRPr="00B03FF3" w:rsidRDefault="00B03FF3" w:rsidP="00B03FF3">
            <w:pPr>
              <w:rPr>
                <w:rFonts w:ascii="Times" w:hAnsi="Times"/>
                <w:sz w:val="20"/>
                <w:szCs w:val="20"/>
              </w:rPr>
            </w:pPr>
            <w:r w:rsidRPr="00B03FF3">
              <w:rPr>
                <w:rFonts w:ascii="Times" w:hAnsi="Times"/>
                <w:sz w:val="20"/>
                <w:szCs w:val="20"/>
              </w:rPr>
              <w:t>-</w:t>
            </w:r>
            <w:r>
              <w:rPr>
                <w:rFonts w:ascii="Times" w:hAnsi="Times"/>
                <w:sz w:val="20"/>
                <w:szCs w:val="20"/>
              </w:rPr>
              <w:t xml:space="preserve"> Item 14-322 removed from consent calendar.</w:t>
            </w:r>
            <w:r w:rsidR="0069451E">
              <w:rPr>
                <w:rFonts w:ascii="Times" w:hAnsi="Times"/>
                <w:sz w:val="20"/>
                <w:szCs w:val="20"/>
              </w:rPr>
              <w:t xml:space="preserve"> </w:t>
            </w:r>
          </w:p>
          <w:p w:rsidR="00B03FF3" w:rsidRPr="00B03FF3" w:rsidRDefault="00B03FF3" w:rsidP="00B03FF3">
            <w:r w:rsidRPr="00B03FF3">
              <w:t xml:space="preserve"> </w:t>
            </w:r>
          </w:p>
        </w:tc>
      </w:tr>
      <w:tr w:rsidR="00B03FF3" w:rsidTr="00B03FF3">
        <w:tc>
          <w:tcPr>
            <w:tcW w:w="4428" w:type="dxa"/>
          </w:tcPr>
          <w:p w:rsidR="00B03FF3" w:rsidRDefault="00B03FF3" w:rsidP="00B03FF3">
            <w:pPr>
              <w:rPr>
                <w:rFonts w:ascii="Times" w:hAnsi="Times"/>
                <w:sz w:val="20"/>
              </w:rPr>
            </w:pPr>
            <w:r>
              <w:rPr>
                <w:rFonts w:ascii="Times" w:hAnsi="Times"/>
                <w:b/>
                <w:sz w:val="20"/>
              </w:rPr>
              <w:t>2.  Consent Calendar</w:t>
            </w:r>
            <w:r>
              <w:rPr>
                <w:rFonts w:ascii="Times" w:hAnsi="Times"/>
                <w:sz w:val="20"/>
              </w:rPr>
              <w:t xml:space="preserve"> </w:t>
            </w:r>
          </w:p>
          <w:p w:rsidR="00B03FF3" w:rsidRDefault="00B03FF3" w:rsidP="00B03FF3">
            <w:pPr>
              <w:rPr>
                <w:rFonts w:ascii="Times" w:hAnsi="Times"/>
                <w:b/>
                <w:sz w:val="20"/>
              </w:rPr>
            </w:pPr>
          </w:p>
        </w:tc>
        <w:tc>
          <w:tcPr>
            <w:tcW w:w="4428" w:type="dxa"/>
          </w:tcPr>
          <w:p w:rsidR="00B03FF3" w:rsidRDefault="00B03FF3" w:rsidP="00B03FF3">
            <w:pPr>
              <w:rPr>
                <w:rFonts w:ascii="Times" w:hAnsi="Times"/>
                <w:sz w:val="20"/>
              </w:rPr>
            </w:pPr>
            <w:r>
              <w:rPr>
                <w:rFonts w:ascii="Times" w:hAnsi="Times"/>
                <w:b/>
                <w:sz w:val="20"/>
              </w:rPr>
              <w:t>2.  Consent Calendar</w:t>
            </w:r>
            <w:r>
              <w:rPr>
                <w:rFonts w:ascii="Times" w:hAnsi="Times"/>
                <w:sz w:val="20"/>
              </w:rPr>
              <w:t xml:space="preserve"> </w:t>
            </w:r>
          </w:p>
          <w:p w:rsidR="00B03FF3" w:rsidRDefault="00B03FF3" w:rsidP="00B03FF3">
            <w:pPr>
              <w:rPr>
                <w:rFonts w:ascii="Times" w:hAnsi="Times"/>
                <w:b/>
                <w:sz w:val="20"/>
              </w:rPr>
            </w:pPr>
          </w:p>
        </w:tc>
      </w:tr>
      <w:tr w:rsidR="00B03FF3" w:rsidTr="00B03FF3">
        <w:tc>
          <w:tcPr>
            <w:tcW w:w="4428" w:type="dxa"/>
          </w:tcPr>
          <w:p w:rsidR="00B03FF3" w:rsidRDefault="00B03FF3" w:rsidP="00B03FF3">
            <w:pPr>
              <w:rPr>
                <w:rFonts w:ascii="Times" w:hAnsi="Times"/>
                <w:sz w:val="20"/>
              </w:rPr>
            </w:pPr>
            <w:r>
              <w:rPr>
                <w:rFonts w:ascii="Times" w:hAnsi="Times"/>
                <w:b/>
                <w:sz w:val="20"/>
              </w:rPr>
              <w:t>3.  AMP</w:t>
            </w:r>
          </w:p>
          <w:p w:rsidR="00B03FF3" w:rsidRDefault="00B03FF3" w:rsidP="00B03FF3">
            <w:pPr>
              <w:rPr>
                <w:rFonts w:ascii="Times" w:hAnsi="Times"/>
                <w:sz w:val="20"/>
              </w:rPr>
            </w:pPr>
          </w:p>
          <w:p w:rsidR="00B03FF3" w:rsidRDefault="00B03FF3" w:rsidP="00B03FF3">
            <w:pPr>
              <w:rPr>
                <w:rFonts w:ascii="Times" w:hAnsi="Times"/>
                <w:sz w:val="20"/>
              </w:rPr>
            </w:pPr>
            <w:r>
              <w:rPr>
                <w:rFonts w:ascii="Times" w:hAnsi="Times"/>
                <w:sz w:val="20"/>
              </w:rPr>
              <w:t>14- 319:  New MA in Spanish – International Program for Spanish Teachers – Letter of Intent</w:t>
            </w:r>
          </w:p>
          <w:p w:rsidR="00B03FF3" w:rsidRDefault="00B03FF3" w:rsidP="00B03FF3">
            <w:pPr>
              <w:rPr>
                <w:rFonts w:ascii="Times" w:hAnsi="Times"/>
                <w:sz w:val="20"/>
              </w:rPr>
            </w:pPr>
            <w:r>
              <w:rPr>
                <w:rFonts w:ascii="Times" w:hAnsi="Times"/>
                <w:sz w:val="20"/>
              </w:rPr>
              <w:t>Recommend approval (Dependent upon revised program title, and permission to require study abroad) ICC approves – to Senate as info item</w:t>
            </w:r>
          </w:p>
          <w:p w:rsidR="00B03FF3" w:rsidRDefault="00B03FF3" w:rsidP="00B03FF3">
            <w:pPr>
              <w:rPr>
                <w:rFonts w:ascii="Times" w:hAnsi="Times"/>
                <w:sz w:val="20"/>
              </w:rPr>
            </w:pPr>
          </w:p>
          <w:p w:rsidR="00B03FF3" w:rsidRPr="006002FA" w:rsidRDefault="00B03FF3" w:rsidP="00B03FF3">
            <w:pPr>
              <w:rPr>
                <w:rFonts w:ascii="Times" w:hAnsi="Times"/>
                <w:sz w:val="20"/>
              </w:rPr>
            </w:pPr>
            <w:r w:rsidRPr="006002FA">
              <w:rPr>
                <w:rFonts w:ascii="Times" w:hAnsi="Times"/>
                <w:sz w:val="20"/>
              </w:rPr>
              <w:t>-------------------------</w:t>
            </w:r>
          </w:p>
          <w:p w:rsidR="00B03FF3" w:rsidRDefault="00B03FF3" w:rsidP="00B03FF3">
            <w:pPr>
              <w:rPr>
                <w:rFonts w:ascii="Times" w:hAnsi="Times"/>
                <w:sz w:val="20"/>
              </w:rPr>
            </w:pPr>
          </w:p>
          <w:p w:rsidR="00B03FF3" w:rsidRDefault="00B03FF3" w:rsidP="00B03FF3">
            <w:pPr>
              <w:rPr>
                <w:rFonts w:ascii="Times" w:hAnsi="Times"/>
                <w:sz w:val="20"/>
              </w:rPr>
            </w:pPr>
            <w:r>
              <w:rPr>
                <w:rFonts w:ascii="Times" w:hAnsi="Times"/>
                <w:sz w:val="20"/>
              </w:rPr>
              <w:t>Revised ICC Constitution (yet once again!)</w:t>
            </w:r>
          </w:p>
          <w:p w:rsidR="00B03FF3" w:rsidRDefault="00B03FF3" w:rsidP="00B03FF3">
            <w:pPr>
              <w:rPr>
                <w:rFonts w:ascii="Times" w:hAnsi="Times"/>
                <w:b/>
                <w:sz w:val="20"/>
              </w:rPr>
            </w:pPr>
          </w:p>
        </w:tc>
        <w:tc>
          <w:tcPr>
            <w:tcW w:w="4428" w:type="dxa"/>
          </w:tcPr>
          <w:p w:rsidR="00B03FF3" w:rsidRDefault="00B03FF3" w:rsidP="00B03FF3">
            <w:pPr>
              <w:rPr>
                <w:rFonts w:ascii="Times" w:hAnsi="Times"/>
                <w:sz w:val="20"/>
              </w:rPr>
            </w:pPr>
            <w:r>
              <w:rPr>
                <w:rFonts w:ascii="Times" w:hAnsi="Times"/>
                <w:b/>
                <w:sz w:val="20"/>
              </w:rPr>
              <w:t>3.  AMP</w:t>
            </w:r>
          </w:p>
          <w:p w:rsidR="00B03FF3" w:rsidRDefault="00B03FF3" w:rsidP="00B03FF3">
            <w:pPr>
              <w:rPr>
                <w:rFonts w:ascii="Times" w:hAnsi="Times"/>
                <w:b/>
                <w:sz w:val="20"/>
              </w:rPr>
            </w:pPr>
          </w:p>
          <w:p w:rsidR="00B03FF3" w:rsidRDefault="00B03FF3" w:rsidP="00B03FF3">
            <w:pPr>
              <w:rPr>
                <w:rFonts w:ascii="Times" w:hAnsi="Times"/>
                <w:sz w:val="20"/>
              </w:rPr>
            </w:pPr>
            <w:r>
              <w:rPr>
                <w:rFonts w:ascii="Times" w:hAnsi="Times"/>
                <w:sz w:val="20"/>
              </w:rPr>
              <w:t xml:space="preserve">- Made note that the program will need a more specific title. </w:t>
            </w:r>
            <w:r w:rsidR="0069451E">
              <w:rPr>
                <w:rFonts w:ascii="Times" w:hAnsi="Times"/>
                <w:sz w:val="20"/>
              </w:rPr>
              <w:t>Approved.</w:t>
            </w:r>
          </w:p>
          <w:p w:rsidR="00B03FF3" w:rsidRDefault="00B03FF3" w:rsidP="00B03FF3">
            <w:pPr>
              <w:rPr>
                <w:rFonts w:ascii="Times" w:hAnsi="Times"/>
                <w:sz w:val="20"/>
              </w:rPr>
            </w:pPr>
          </w:p>
          <w:p w:rsidR="00B03FF3" w:rsidRDefault="00B03FF3" w:rsidP="00B03FF3">
            <w:pPr>
              <w:rPr>
                <w:rFonts w:ascii="Times" w:hAnsi="Times"/>
                <w:sz w:val="20"/>
              </w:rPr>
            </w:pPr>
          </w:p>
          <w:p w:rsidR="00B03FF3" w:rsidRDefault="00B03FF3" w:rsidP="00B03FF3">
            <w:pPr>
              <w:rPr>
                <w:rFonts w:ascii="Times" w:hAnsi="Times"/>
                <w:sz w:val="20"/>
              </w:rPr>
            </w:pPr>
          </w:p>
          <w:p w:rsidR="00B03FF3" w:rsidRDefault="00B03FF3" w:rsidP="00B03FF3">
            <w:pPr>
              <w:rPr>
                <w:rFonts w:ascii="Times" w:hAnsi="Times"/>
                <w:sz w:val="20"/>
              </w:rPr>
            </w:pPr>
          </w:p>
          <w:p w:rsidR="00B03FF3" w:rsidRPr="006002FA" w:rsidRDefault="00B03FF3" w:rsidP="00B03FF3">
            <w:pPr>
              <w:rPr>
                <w:rFonts w:ascii="Times" w:hAnsi="Times"/>
                <w:sz w:val="20"/>
              </w:rPr>
            </w:pPr>
            <w:r w:rsidRPr="006002FA">
              <w:rPr>
                <w:rFonts w:ascii="Times" w:hAnsi="Times"/>
                <w:sz w:val="20"/>
              </w:rPr>
              <w:t>-------------------------</w:t>
            </w:r>
          </w:p>
          <w:p w:rsidR="00B03FF3" w:rsidRDefault="00B03FF3" w:rsidP="00B03FF3">
            <w:pPr>
              <w:rPr>
                <w:rFonts w:ascii="Times" w:hAnsi="Times"/>
                <w:sz w:val="20"/>
              </w:rPr>
            </w:pPr>
          </w:p>
          <w:p w:rsidR="00B03FF3" w:rsidRPr="00B03FF3" w:rsidRDefault="00B03FF3" w:rsidP="00B03FF3">
            <w:pPr>
              <w:rPr>
                <w:rFonts w:ascii="Times" w:hAnsi="Times"/>
                <w:sz w:val="20"/>
              </w:rPr>
            </w:pPr>
            <w:r>
              <w:rPr>
                <w:rFonts w:ascii="Times" w:hAnsi="Times"/>
                <w:sz w:val="20"/>
              </w:rPr>
              <w:t>- Approved</w:t>
            </w:r>
          </w:p>
        </w:tc>
      </w:tr>
      <w:tr w:rsidR="00B03FF3" w:rsidTr="00B03FF3">
        <w:tc>
          <w:tcPr>
            <w:tcW w:w="4428" w:type="dxa"/>
          </w:tcPr>
          <w:p w:rsidR="00B03FF3" w:rsidRDefault="00B03FF3" w:rsidP="00B03FF3">
            <w:pPr>
              <w:rPr>
                <w:rFonts w:ascii="Times" w:hAnsi="Times"/>
                <w:sz w:val="20"/>
              </w:rPr>
            </w:pPr>
            <w:r w:rsidRPr="00B03FF3">
              <w:rPr>
                <w:rFonts w:ascii="Times" w:hAnsi="Times"/>
                <w:b/>
                <w:sz w:val="20"/>
              </w:rPr>
              <w:t>4.</w:t>
            </w:r>
            <w:r>
              <w:rPr>
                <w:rFonts w:ascii="Times" w:hAnsi="Times"/>
                <w:b/>
                <w:sz w:val="20"/>
              </w:rPr>
              <w:t xml:space="preserve">  APC</w:t>
            </w:r>
          </w:p>
          <w:p w:rsidR="00B03FF3" w:rsidRDefault="00B03FF3" w:rsidP="00B03FF3">
            <w:pPr>
              <w:rPr>
                <w:rFonts w:ascii="Times" w:hAnsi="Times"/>
                <w:sz w:val="20"/>
              </w:rPr>
            </w:pPr>
          </w:p>
          <w:p w:rsidR="00B03FF3" w:rsidRPr="004F2BA4" w:rsidRDefault="00B03FF3" w:rsidP="00B03FF3">
            <w:pPr>
              <w:rPr>
                <w:rFonts w:ascii="Times" w:hAnsi="Times"/>
                <w:sz w:val="20"/>
              </w:rPr>
            </w:pPr>
            <w:r>
              <w:rPr>
                <w:rFonts w:ascii="Times" w:hAnsi="Times"/>
                <w:sz w:val="20"/>
              </w:rPr>
              <w:t>Resolution on TOEFL</w:t>
            </w:r>
          </w:p>
          <w:p w:rsidR="00B03FF3" w:rsidRDefault="00B03FF3" w:rsidP="00B03FF3">
            <w:pPr>
              <w:rPr>
                <w:rFonts w:ascii="Times" w:hAnsi="Times"/>
                <w:b/>
                <w:sz w:val="20"/>
              </w:rPr>
            </w:pPr>
          </w:p>
        </w:tc>
        <w:tc>
          <w:tcPr>
            <w:tcW w:w="4428" w:type="dxa"/>
          </w:tcPr>
          <w:p w:rsidR="00B03FF3" w:rsidRDefault="00B03FF3" w:rsidP="00B03FF3">
            <w:pPr>
              <w:rPr>
                <w:rFonts w:ascii="Times" w:hAnsi="Times"/>
                <w:b/>
                <w:sz w:val="20"/>
              </w:rPr>
            </w:pPr>
            <w:r w:rsidRPr="00B03FF3">
              <w:rPr>
                <w:rFonts w:ascii="Times" w:hAnsi="Times"/>
                <w:b/>
                <w:sz w:val="20"/>
              </w:rPr>
              <w:t>4.</w:t>
            </w:r>
            <w:r>
              <w:rPr>
                <w:rFonts w:ascii="Times" w:hAnsi="Times"/>
                <w:b/>
                <w:sz w:val="20"/>
              </w:rPr>
              <w:t xml:space="preserve">  APC</w:t>
            </w:r>
          </w:p>
          <w:p w:rsidR="00B03FF3" w:rsidRDefault="00B03FF3" w:rsidP="00B03FF3">
            <w:pPr>
              <w:rPr>
                <w:rFonts w:ascii="Times" w:hAnsi="Times"/>
                <w:b/>
                <w:sz w:val="20"/>
              </w:rPr>
            </w:pPr>
          </w:p>
          <w:p w:rsidR="00B03FF3" w:rsidRPr="00B03FF3" w:rsidRDefault="00B03FF3" w:rsidP="00B03FF3">
            <w:pPr>
              <w:rPr>
                <w:rFonts w:ascii="Times" w:hAnsi="Times"/>
                <w:sz w:val="20"/>
              </w:rPr>
            </w:pPr>
            <w:r>
              <w:rPr>
                <w:rFonts w:ascii="Times" w:hAnsi="Times"/>
                <w:sz w:val="20"/>
              </w:rPr>
              <w:t xml:space="preserve">Concerns were raised about not having a system of checks and balances in place. An errant Provost could potentially cause problems if there is no reporting mechanism. ICC recommends that the Provost must notify the </w:t>
            </w:r>
            <w:r w:rsidR="00E912CF">
              <w:rPr>
                <w:rFonts w:ascii="Times" w:hAnsi="Times"/>
                <w:sz w:val="20"/>
              </w:rPr>
              <w:t>Senate of any change to the minimum TOEFL scores.</w:t>
            </w:r>
          </w:p>
          <w:p w:rsidR="00B03FF3" w:rsidRDefault="00B03FF3" w:rsidP="00B03FF3">
            <w:pPr>
              <w:rPr>
                <w:rFonts w:ascii="Times" w:hAnsi="Times"/>
                <w:b/>
                <w:sz w:val="20"/>
              </w:rPr>
            </w:pPr>
          </w:p>
        </w:tc>
      </w:tr>
      <w:tr w:rsidR="00B03FF3" w:rsidTr="00B03FF3">
        <w:tc>
          <w:tcPr>
            <w:tcW w:w="4428" w:type="dxa"/>
          </w:tcPr>
          <w:p w:rsidR="00B03FF3" w:rsidRDefault="00B03FF3" w:rsidP="00B03FF3">
            <w:pPr>
              <w:rPr>
                <w:rFonts w:ascii="Times" w:hAnsi="Times"/>
                <w:sz w:val="20"/>
              </w:rPr>
            </w:pPr>
            <w:r>
              <w:rPr>
                <w:rFonts w:ascii="Times" w:hAnsi="Times"/>
                <w:b/>
                <w:sz w:val="20"/>
              </w:rPr>
              <w:t>5.  GEAR Update</w:t>
            </w:r>
          </w:p>
          <w:p w:rsidR="00B03FF3" w:rsidRDefault="00B03FF3" w:rsidP="00B03FF3">
            <w:pPr>
              <w:rPr>
                <w:rFonts w:ascii="Times" w:hAnsi="Times"/>
                <w:b/>
                <w:sz w:val="20"/>
              </w:rPr>
            </w:pPr>
          </w:p>
        </w:tc>
        <w:tc>
          <w:tcPr>
            <w:tcW w:w="4428" w:type="dxa"/>
          </w:tcPr>
          <w:p w:rsidR="00B03FF3" w:rsidRDefault="00B03FF3" w:rsidP="00B03FF3">
            <w:pPr>
              <w:rPr>
                <w:rFonts w:ascii="Times" w:hAnsi="Times"/>
                <w:b/>
                <w:sz w:val="20"/>
              </w:rPr>
            </w:pPr>
            <w:r>
              <w:rPr>
                <w:rFonts w:ascii="Times" w:hAnsi="Times"/>
                <w:b/>
                <w:sz w:val="20"/>
              </w:rPr>
              <w:t>5.  GEAR Update</w:t>
            </w:r>
          </w:p>
          <w:p w:rsidR="00E912CF" w:rsidRDefault="00E912CF" w:rsidP="00B03FF3">
            <w:pPr>
              <w:rPr>
                <w:rFonts w:ascii="Times" w:hAnsi="Times"/>
                <w:b/>
                <w:sz w:val="20"/>
              </w:rPr>
            </w:pPr>
          </w:p>
          <w:p w:rsidR="00E912CF" w:rsidRPr="00E912CF" w:rsidRDefault="0069451E" w:rsidP="00B03FF3">
            <w:pPr>
              <w:rPr>
                <w:rFonts w:ascii="Times" w:hAnsi="Times"/>
                <w:sz w:val="20"/>
              </w:rPr>
            </w:pPr>
            <w:r>
              <w:rPr>
                <w:rFonts w:ascii="Times" w:hAnsi="Times"/>
                <w:sz w:val="20"/>
              </w:rPr>
              <w:t xml:space="preserve">The new direction for GEAR hopes to tie general education classes together in a meaningful way, and to make it a program unto itself to match the major program. These new changes hope to bring core competencies to a wider range of GE classes, and also eliminate the practice of double and triple counting classes. The ICC recommended several structural changes that would create hierarchies of classes, so that the skills students learn in lower division courses will prepare them for the rigor of higher level courses. </w:t>
            </w:r>
          </w:p>
          <w:p w:rsidR="00B03FF3" w:rsidRDefault="00B03FF3" w:rsidP="00B03FF3">
            <w:pPr>
              <w:rPr>
                <w:rFonts w:ascii="Times" w:hAnsi="Times"/>
                <w:b/>
                <w:sz w:val="20"/>
              </w:rPr>
            </w:pPr>
          </w:p>
        </w:tc>
      </w:tr>
    </w:tbl>
    <w:p w:rsidR="00B03FF3" w:rsidRPr="00295580" w:rsidRDefault="00B03FF3" w:rsidP="00B03FF3">
      <w:pPr>
        <w:rPr>
          <w:rFonts w:ascii="Times" w:hAnsi="Times"/>
          <w:b/>
          <w:sz w:val="20"/>
        </w:rPr>
      </w:pPr>
    </w:p>
    <w:p w:rsidR="00B03FF3" w:rsidRDefault="00B03FF3" w:rsidP="00B03FF3"/>
    <w:sectPr w:rsidR="00B03FF3" w:rsidSect="00054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E07F9"/>
    <w:multiLevelType w:val="hybridMultilevel"/>
    <w:tmpl w:val="361C3616"/>
    <w:lvl w:ilvl="0" w:tplc="D58AA0A4">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F3"/>
    <w:rsid w:val="000549F3"/>
    <w:rsid w:val="0069451E"/>
    <w:rsid w:val="00B03FF3"/>
    <w:rsid w:val="00B12FFB"/>
    <w:rsid w:val="00E274B9"/>
    <w:rsid w:val="00E912CF"/>
    <w:rsid w:val="00E9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3CF6F3E-AD16-4127-AC68-11FD6B70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9F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49F3"/>
    <w:rPr>
      <w:rFonts w:ascii="Lucida Grande" w:hAnsi="Lucida Grande" w:cs="Lucida Grande"/>
      <w:sz w:val="18"/>
      <w:szCs w:val="18"/>
    </w:rPr>
  </w:style>
  <w:style w:type="table" w:styleId="TableGrid">
    <w:name w:val="Table Grid"/>
    <w:basedOn w:val="TableNormal"/>
    <w:uiPriority w:val="59"/>
    <w:rsid w:val="00B0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Humboldt State University</dc:creator>
  <cp:keywords/>
  <dc:description/>
  <cp:lastModifiedBy>Jodie L. Baker</cp:lastModifiedBy>
  <cp:revision>3</cp:revision>
  <cp:lastPrinted>2016-02-22T19:03:00Z</cp:lastPrinted>
  <dcterms:created xsi:type="dcterms:W3CDTF">2016-02-22T19:08:00Z</dcterms:created>
  <dcterms:modified xsi:type="dcterms:W3CDTF">2016-02-22T19:08:00Z</dcterms:modified>
</cp:coreProperties>
</file>